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23" w:rsidRDefault="00F04F23" w:rsidP="00F04F23">
      <w:pPr>
        <w:jc w:val="center"/>
        <w:rPr>
          <w:b/>
        </w:rPr>
      </w:pPr>
      <w:r>
        <w:rPr>
          <w:noProof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56665" cy="1256665"/>
            <wp:effectExtent l="0" t="0" r="635" b="635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Základní škola a mateřská škola Václava Vaňka</w:t>
      </w:r>
    </w:p>
    <w:p w:rsidR="00F04F23" w:rsidRDefault="00F04F23" w:rsidP="00F04F23">
      <w:pPr>
        <w:jc w:val="center"/>
        <w:rPr>
          <w:b/>
        </w:rPr>
      </w:pPr>
      <w:r>
        <w:rPr>
          <w:b/>
        </w:rPr>
        <w:t>Školní 242, 294 29 Bezno</w:t>
      </w:r>
    </w:p>
    <w:p w:rsidR="00F04F23" w:rsidRDefault="00F04F23" w:rsidP="00F04F23">
      <w:pPr>
        <w:jc w:val="center"/>
      </w:pPr>
      <w:r>
        <w:t xml:space="preserve">E-mail: </w:t>
      </w:r>
      <w:hyperlink r:id="rId6" w:history="1">
        <w:r>
          <w:rPr>
            <w:rStyle w:val="Hypertextovodkaz"/>
          </w:rPr>
          <w:t>zsbezno@volny.cz</w:t>
        </w:r>
      </w:hyperlink>
    </w:p>
    <w:p w:rsidR="00F04F23" w:rsidRDefault="00F04F23" w:rsidP="00F04F23">
      <w:pPr>
        <w:jc w:val="center"/>
      </w:pPr>
      <w:r>
        <w:t>www.zs-bezno.cz</w:t>
      </w:r>
    </w:p>
    <w:p w:rsidR="00F04F23" w:rsidRDefault="00F04F23" w:rsidP="00F04F23">
      <w:pPr>
        <w:jc w:val="center"/>
      </w:pPr>
      <w:r>
        <w:t>tel. (fax) 326 395 212</w:t>
      </w:r>
    </w:p>
    <w:p w:rsidR="00F04F23" w:rsidRDefault="00F04F23" w:rsidP="00F04F23">
      <w:pPr>
        <w:rPr>
          <w:b/>
          <w:sz w:val="28"/>
          <w:szCs w:val="28"/>
          <w:u w:val="single"/>
        </w:rPr>
      </w:pPr>
    </w:p>
    <w:p w:rsidR="00F04F23" w:rsidRDefault="00F04F23" w:rsidP="00F04F23"/>
    <w:p w:rsidR="00F04F23" w:rsidRDefault="00F04F23" w:rsidP="00F04F23"/>
    <w:p w:rsidR="00F04F23" w:rsidRDefault="00F04F23" w:rsidP="00F04F23">
      <w:r>
        <w:t>Č. j.:</w:t>
      </w:r>
      <w:r w:rsidR="00996CB6">
        <w:t xml:space="preserve"> </w:t>
      </w:r>
      <w:r w:rsidR="003A45DC">
        <w:t>210</w:t>
      </w:r>
      <w:r>
        <w:t xml:space="preserve">/2021ZŠ                                                                               V Bezně </w:t>
      </w:r>
      <w:r w:rsidR="00CD5032">
        <w:t>7</w:t>
      </w:r>
      <w:r>
        <w:t xml:space="preserve">. </w:t>
      </w:r>
      <w:r w:rsidR="00CD5032">
        <w:t>9</w:t>
      </w:r>
      <w:r>
        <w:t>. 2021</w:t>
      </w:r>
    </w:p>
    <w:p w:rsidR="00D00818" w:rsidRDefault="00D00818" w:rsidP="00F04F23"/>
    <w:p w:rsidR="00D00818" w:rsidRDefault="00D00818" w:rsidP="00F26D53">
      <w:pPr>
        <w:jc w:val="center"/>
      </w:pPr>
      <w:r>
        <w:rPr>
          <w:noProof/>
        </w:rPr>
        <w:drawing>
          <wp:inline distT="0" distB="0" distL="0" distR="0" wp14:anchorId="0348A371" wp14:editId="29068BFA">
            <wp:extent cx="5105400" cy="2440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183" cy="25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18" w:rsidRDefault="00D00818" w:rsidP="00F04F23"/>
    <w:p w:rsidR="00F04F23" w:rsidRDefault="00D00818" w:rsidP="00F26D53">
      <w:pPr>
        <w:jc w:val="center"/>
      </w:pPr>
      <w:r>
        <w:rPr>
          <w:noProof/>
        </w:rPr>
        <w:drawing>
          <wp:inline distT="0" distB="0" distL="0" distR="0" wp14:anchorId="489EB42B" wp14:editId="138ACF0D">
            <wp:extent cx="3905250" cy="186136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8065" cy="187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818" w:rsidRDefault="00D00818" w:rsidP="00F04F23"/>
    <w:p w:rsidR="00D00818" w:rsidRDefault="00D00818" w:rsidP="00F04F23"/>
    <w:p w:rsidR="00D00818" w:rsidRDefault="00D00818" w:rsidP="00F04F23"/>
    <w:p w:rsidR="00D00818" w:rsidRDefault="00D00818" w:rsidP="00F04F23"/>
    <w:p w:rsidR="00D00818" w:rsidRDefault="00D00818" w:rsidP="00F04F23"/>
    <w:p w:rsidR="00D00818" w:rsidRDefault="00D00818" w:rsidP="00F04F23"/>
    <w:p w:rsidR="00D00818" w:rsidRDefault="00D00818" w:rsidP="00F04F23"/>
    <w:p w:rsidR="0000411B" w:rsidRPr="003A45DC" w:rsidRDefault="00996CB6" w:rsidP="003A45DC">
      <w:pPr>
        <w:jc w:val="center"/>
        <w:rPr>
          <w:b/>
          <w:sz w:val="28"/>
          <w:szCs w:val="28"/>
          <w:shd w:val="clear" w:color="auto" w:fill="FFFFFF"/>
        </w:rPr>
      </w:pPr>
      <w:r w:rsidRPr="003A45DC">
        <w:rPr>
          <w:b/>
          <w:bCs/>
          <w:kern w:val="36"/>
          <w:sz w:val="28"/>
          <w:szCs w:val="28"/>
          <w:lang w:eastAsia="cs-CZ"/>
        </w:rPr>
        <w:t>Doučování žáků základní školy v </w:t>
      </w:r>
      <w:proofErr w:type="gramStart"/>
      <w:r w:rsidRPr="003A45DC">
        <w:rPr>
          <w:b/>
          <w:bCs/>
          <w:kern w:val="36"/>
          <w:sz w:val="28"/>
          <w:szCs w:val="28"/>
          <w:lang w:eastAsia="cs-CZ"/>
        </w:rPr>
        <w:t xml:space="preserve">Bezně - </w:t>
      </w:r>
      <w:r w:rsidRPr="003A45DC">
        <w:rPr>
          <w:b/>
          <w:sz w:val="28"/>
          <w:szCs w:val="28"/>
          <w:shd w:val="clear" w:color="auto" w:fill="FFFFFF"/>
        </w:rPr>
        <w:t>realizace</w:t>
      </w:r>
      <w:proofErr w:type="gramEnd"/>
      <w:r w:rsidRPr="003A45DC">
        <w:rPr>
          <w:b/>
          <w:sz w:val="28"/>
          <w:szCs w:val="28"/>
          <w:shd w:val="clear" w:color="auto" w:fill="FFFFFF"/>
        </w:rPr>
        <w:t xml:space="preserve"> Národního plánu </w:t>
      </w:r>
      <w:r w:rsidR="00D00818">
        <w:rPr>
          <w:b/>
          <w:sz w:val="28"/>
          <w:szCs w:val="28"/>
          <w:shd w:val="clear" w:color="auto" w:fill="FFFFFF"/>
        </w:rPr>
        <w:t>obnovy</w:t>
      </w:r>
    </w:p>
    <w:p w:rsidR="00996CB6" w:rsidRDefault="00996CB6">
      <w:pPr>
        <w:rPr>
          <w:b/>
        </w:rPr>
      </w:pPr>
    </w:p>
    <w:p w:rsidR="00996CB6" w:rsidRPr="00BE5DEF" w:rsidRDefault="00A13A10" w:rsidP="00064474">
      <w:pPr>
        <w:jc w:val="both"/>
      </w:pPr>
      <w:r w:rsidRPr="00BE5DEF">
        <w:t xml:space="preserve">Základní škola v Bezně se zapojila do </w:t>
      </w:r>
      <w:r w:rsidR="00A92EC6">
        <w:t xml:space="preserve">doučování v rámci </w:t>
      </w:r>
      <w:r w:rsidRPr="00BE5DEF">
        <w:t>Národního plánu</w:t>
      </w:r>
      <w:r w:rsidR="00064474" w:rsidRPr="00BE5DEF">
        <w:t xml:space="preserve"> </w:t>
      </w:r>
      <w:r w:rsidR="00A92EC6">
        <w:t>obnovy</w:t>
      </w:r>
      <w:r w:rsidR="00064474" w:rsidRPr="00BE5DEF">
        <w:t xml:space="preserve">. V první fázi bude přímé doučování žáků probíhat do 31. prosince 2021. Národní plán doučování však rokem 2021 nekončí. Podpora doučování bude pokračovat </w:t>
      </w:r>
      <w:r w:rsidR="00CD5032">
        <w:t xml:space="preserve">dle sdělení MŠMT </w:t>
      </w:r>
      <w:r w:rsidR="00064474" w:rsidRPr="00BE5DEF">
        <w:t>nejméně do konce školního roku 2022/2023 z Národního plánu obnovy.</w:t>
      </w:r>
    </w:p>
    <w:p w:rsidR="00CC4F29" w:rsidRDefault="00CC4F29" w:rsidP="00CC4F29">
      <w:pPr>
        <w:pStyle w:val="Default"/>
      </w:pPr>
    </w:p>
    <w:p w:rsidR="00A5533D" w:rsidRPr="00CC4F29" w:rsidRDefault="00A5533D" w:rsidP="00CC4F29">
      <w:pPr>
        <w:pStyle w:val="Default"/>
        <w:jc w:val="both"/>
        <w:rPr>
          <w:rFonts w:ascii="Times New Roman" w:hAnsi="Times New Roman" w:cs="Times New Roman"/>
        </w:rPr>
      </w:pPr>
    </w:p>
    <w:p w:rsidR="00CC4F29" w:rsidRPr="00CC4F29" w:rsidRDefault="00CC4F29" w:rsidP="00CC4F29">
      <w:pPr>
        <w:jc w:val="both"/>
      </w:pPr>
      <w:r w:rsidRPr="00A5533D">
        <w:rPr>
          <w:b/>
        </w:rPr>
        <w:t>Cílem programu</w:t>
      </w:r>
      <w:r w:rsidRPr="00CC4F29">
        <w:t xml:space="preserve"> je zajistit přednostní doučování dětem (žákům), kterým hrozí školní neúspěch či v extrémním případě vypadnutí ze vzdělávání. Došlo u nich také k vážnému zhoršení výsledků vzdělávání. Sledován je nejen prospěch, ale také základní přehled v tématech, schopnost navázat na další očekávané znalosti.</w:t>
      </w:r>
    </w:p>
    <w:p w:rsidR="00A5533D" w:rsidRPr="00A5533D" w:rsidRDefault="00A5533D" w:rsidP="00A5533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CC4F29" w:rsidRPr="00CC4F29" w:rsidRDefault="00A5533D" w:rsidP="00A5533D">
      <w:pPr>
        <w:pStyle w:val="Default"/>
        <w:jc w:val="both"/>
        <w:rPr>
          <w:rFonts w:ascii="Times New Roman" w:hAnsi="Times New Roman" w:cs="Times New Roman"/>
        </w:rPr>
      </w:pPr>
      <w:r w:rsidRPr="00A5533D">
        <w:t xml:space="preserve"> </w:t>
      </w:r>
      <w:r w:rsidRPr="00A5533D">
        <w:rPr>
          <w:rFonts w:ascii="Times New Roman" w:hAnsi="Times New Roman" w:cs="Times New Roman"/>
        </w:rPr>
        <w:t xml:space="preserve">S pomocí níže uvedených kritérií </w:t>
      </w:r>
      <w:r>
        <w:rPr>
          <w:rFonts w:ascii="Times New Roman" w:hAnsi="Times New Roman" w:cs="Times New Roman"/>
        </w:rPr>
        <w:t>bylo</w:t>
      </w:r>
      <w:r w:rsidRPr="00A5533D">
        <w:rPr>
          <w:rFonts w:ascii="Times New Roman" w:hAnsi="Times New Roman" w:cs="Times New Roman"/>
        </w:rPr>
        <w:t xml:space="preserve"> snadn</w:t>
      </w:r>
      <w:r>
        <w:rPr>
          <w:rFonts w:ascii="Times New Roman" w:hAnsi="Times New Roman" w:cs="Times New Roman"/>
        </w:rPr>
        <w:t>é</w:t>
      </w:r>
      <w:r w:rsidRPr="00A5533D">
        <w:rPr>
          <w:rFonts w:ascii="Times New Roman" w:hAnsi="Times New Roman" w:cs="Times New Roman"/>
        </w:rPr>
        <w:t xml:space="preserve"> identifikovat žáky, pro které je program primárně určen</w:t>
      </w:r>
      <w:r w:rsidRPr="00A5533D">
        <w:rPr>
          <w:sz w:val="20"/>
          <w:szCs w:val="20"/>
        </w:rPr>
        <w:t xml:space="preserve"> </w:t>
      </w:r>
      <w:r w:rsidR="00CC4F29" w:rsidRPr="00CC4F29">
        <w:rPr>
          <w:rFonts w:ascii="Times New Roman" w:hAnsi="Times New Roman" w:cs="Times New Roman"/>
        </w:rPr>
        <w:t xml:space="preserve">– jsou ohroženi školním neúspěchem zejména v důsledku </w:t>
      </w:r>
      <w:proofErr w:type="spellStart"/>
      <w:r w:rsidR="00CC4F29" w:rsidRPr="00CC4F29">
        <w:rPr>
          <w:rFonts w:ascii="Times New Roman" w:hAnsi="Times New Roman" w:cs="Times New Roman"/>
        </w:rPr>
        <w:t>koronakrize</w:t>
      </w:r>
      <w:proofErr w:type="spellEnd"/>
      <w:r w:rsidR="00CC4F29" w:rsidRPr="00CC4F29">
        <w:rPr>
          <w:rFonts w:ascii="Times New Roman" w:hAnsi="Times New Roman" w:cs="Times New Roman"/>
        </w:rPr>
        <w:t xml:space="preserve"> (např. se jim nedostávalo dostatečné podpory v rodině, měli špatné materiální zázemí pro účast na výuce nebo mají speciální vzdělávací potřeby, které nemohly být naplňovány). Kritéria zaostřují na žáky, kterým je vhodné dlouhodoběji věnovat zvýšenou pozornost a podporovat je při dosahování úspěchů ve škole. </w:t>
      </w:r>
    </w:p>
    <w:p w:rsidR="00CC4F29" w:rsidRPr="00A5533D" w:rsidRDefault="00CC4F29" w:rsidP="00A5533D">
      <w:pPr>
        <w:pStyle w:val="Default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Pro zařazení žáka či žákyně do programu doučování </w:t>
      </w:r>
      <w:r w:rsidR="00A5533D">
        <w:rPr>
          <w:rFonts w:ascii="Times New Roman" w:hAnsi="Times New Roman" w:cs="Times New Roman"/>
        </w:rPr>
        <w:t>bylo</w:t>
      </w:r>
      <w:r w:rsidRPr="00CC4F29">
        <w:rPr>
          <w:rFonts w:ascii="Times New Roman" w:hAnsi="Times New Roman" w:cs="Times New Roman"/>
        </w:rPr>
        <w:t xml:space="preserve"> určující, zda naplňuje jedno nebo více z uvedených kritérií. Identifikaci prov</w:t>
      </w:r>
      <w:r w:rsidR="00A5533D">
        <w:rPr>
          <w:rFonts w:ascii="Times New Roman" w:hAnsi="Times New Roman" w:cs="Times New Roman"/>
        </w:rPr>
        <w:t>edl</w:t>
      </w:r>
      <w:r w:rsidRPr="00CC4F29">
        <w:rPr>
          <w:rFonts w:ascii="Times New Roman" w:hAnsi="Times New Roman" w:cs="Times New Roman"/>
        </w:rPr>
        <w:t xml:space="preserve"> pedagog na základě svých podkladů a zkušeností. </w:t>
      </w:r>
    </w:p>
    <w:p w:rsidR="00CC4F29" w:rsidRDefault="00CC4F29" w:rsidP="00CC4F29">
      <w:pPr>
        <w:pStyle w:val="Default"/>
      </w:pPr>
    </w:p>
    <w:p w:rsidR="00CC4F29" w:rsidRPr="00CC4F29" w:rsidRDefault="00CC4F29" w:rsidP="00CC4F29">
      <w:pPr>
        <w:pStyle w:val="Default"/>
        <w:rPr>
          <w:rFonts w:ascii="Times New Roman" w:hAnsi="Times New Roman" w:cs="Times New Roman"/>
          <w:b/>
        </w:rPr>
      </w:pPr>
      <w:r w:rsidRPr="00CC4F29">
        <w:rPr>
          <w:b/>
        </w:rPr>
        <w:t xml:space="preserve"> </w:t>
      </w:r>
      <w:r w:rsidRPr="00CC4F29">
        <w:rPr>
          <w:rFonts w:ascii="Times New Roman" w:hAnsi="Times New Roman" w:cs="Times New Roman"/>
          <w:b/>
          <w:bCs/>
        </w:rPr>
        <w:t xml:space="preserve">Základní kritéria </w:t>
      </w:r>
      <w:r w:rsidRPr="00CC4F29">
        <w:rPr>
          <w:rFonts w:ascii="Times New Roman" w:hAnsi="Times New Roman" w:cs="Times New Roman"/>
          <w:b/>
        </w:rPr>
        <w:t>pro zařazení žáka či žákyně do programu doučování:</w:t>
      </w:r>
    </w:p>
    <w:p w:rsidR="00CC4F29" w:rsidRPr="00CC4F29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Žák s </w:t>
      </w:r>
      <w:proofErr w:type="gramStart"/>
      <w:r w:rsidRPr="00CC4F29">
        <w:rPr>
          <w:rFonts w:ascii="Times New Roman" w:hAnsi="Times New Roman" w:cs="Times New Roman"/>
        </w:rPr>
        <w:t>20%</w:t>
      </w:r>
      <w:proofErr w:type="gramEnd"/>
      <w:r w:rsidRPr="00CC4F29">
        <w:rPr>
          <w:rFonts w:ascii="Times New Roman" w:hAnsi="Times New Roman" w:cs="Times New Roman"/>
        </w:rPr>
        <w:t xml:space="preserve"> a vyšší absencí ve školním roce 2020/21 z celkového počtu hodin, který neplnil v odpovídající míře zadané úkoly při asynchronní výuce, a došlo u něj ke zhoršení výsledků vzdělávání (sledován je nejen prospěch, ale také základní přehled v tématech, schopnost navázat na další očekávané znalosti) </w:t>
      </w:r>
    </w:p>
    <w:p w:rsidR="00CC4F29" w:rsidRPr="00CC4F29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Žák, který se neúčastnil distanční výuky, a došlo u něj ke zhoršení výsledků vzdělávání </w:t>
      </w:r>
    </w:p>
    <w:p w:rsidR="00CC4F29" w:rsidRPr="00CC4F29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Žák, který opakuje ročník nebo byl hodnocen stupněm „dostatečný“ na konci právě proběhlého školního roku 2020/2021 </w:t>
      </w:r>
    </w:p>
    <w:p w:rsidR="00CC4F29" w:rsidRPr="00CC4F29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Žák se speciálními vzdělávacími potřebami, u kterého došlo k pozastavení využívání podpory v době distanční výuky a protiepidemických opatření a současně se u něj projevilo zhoršení výsledků vzdělávání </w:t>
      </w:r>
    </w:p>
    <w:p w:rsidR="00CC4F29" w:rsidRPr="00CC4F29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Žák s odlišným mateřským jazykem, bez dostatečné podpory v rodině, která se odráží ve zhoršení výsledků vzdělávání </w:t>
      </w:r>
    </w:p>
    <w:p w:rsidR="00CC4F29" w:rsidRPr="00CC4F29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CC4F29">
        <w:rPr>
          <w:rFonts w:ascii="Times New Roman" w:hAnsi="Times New Roman" w:cs="Times New Roman"/>
        </w:rPr>
        <w:t xml:space="preserve">Žák, jehož jeden nebo oba rodiče mají nejvýše základní vzdělání a současně se u něj projevilo zhoršení výsledků vzdělávání </w:t>
      </w:r>
    </w:p>
    <w:p w:rsidR="00CC4F29" w:rsidRPr="00A5533D" w:rsidRDefault="00CC4F29" w:rsidP="00CC4F29">
      <w:pPr>
        <w:pStyle w:val="Default"/>
        <w:numPr>
          <w:ilvl w:val="0"/>
          <w:numId w:val="3"/>
        </w:numPr>
        <w:spacing w:after="25"/>
        <w:jc w:val="both"/>
        <w:rPr>
          <w:rFonts w:ascii="Times New Roman" w:hAnsi="Times New Roman" w:cs="Times New Roman"/>
        </w:rPr>
      </w:pPr>
      <w:r w:rsidRPr="00A5533D">
        <w:rPr>
          <w:rFonts w:ascii="Times New Roman" w:hAnsi="Times New Roman" w:cs="Times New Roman"/>
        </w:rPr>
        <w:t xml:space="preserve">Žák, s jehož zákonnými zástupci bylo obtížné komunikovat zejména v období distanční výuky, což se negativně projevilo ve zhoršení jeho výsledků vzdělávání </w:t>
      </w:r>
    </w:p>
    <w:p w:rsidR="00CC4F29" w:rsidRPr="00A5533D" w:rsidRDefault="00CC4F29" w:rsidP="00CC4F29">
      <w:pPr>
        <w:rPr>
          <w:b/>
        </w:rPr>
      </w:pPr>
    </w:p>
    <w:p w:rsidR="000F00B0" w:rsidRPr="000F00B0" w:rsidRDefault="000F00B0" w:rsidP="000F00B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64474" w:rsidRPr="00134891" w:rsidRDefault="000F00B0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34891">
        <w:rPr>
          <w:rFonts w:eastAsiaTheme="minorHAnsi"/>
          <w:b/>
          <w:color w:val="000000"/>
          <w:lang w:eastAsia="en-US"/>
        </w:rPr>
        <w:t xml:space="preserve">Organizační a personální zajištění doučování </w:t>
      </w:r>
    </w:p>
    <w:p w:rsidR="00064474" w:rsidRPr="00134891" w:rsidRDefault="00064474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 xml:space="preserve"> </w:t>
      </w:r>
    </w:p>
    <w:p w:rsidR="00064474" w:rsidRPr="00134891" w:rsidRDefault="00064474" w:rsidP="00064474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 xml:space="preserve">S ohledem na skutečnost, že povaha doučování není školským zákonem definována, není definována ani minimální odborná kvalifikace. </w:t>
      </w:r>
    </w:p>
    <w:p w:rsidR="00064474" w:rsidRPr="00134891" w:rsidRDefault="00064474" w:rsidP="00064474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 xml:space="preserve">Svou povahou se jedná o soubor činností, pro které je požadována odborná kvalifikace vychovatele školní družiny nebo školního klubu. </w:t>
      </w:r>
    </w:p>
    <w:p w:rsidR="00064474" w:rsidRPr="00134891" w:rsidRDefault="00064474" w:rsidP="0006447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 xml:space="preserve">Doučování ve smyslu Národního plánu doučování není standardní činností pedagogického pracovníka, která je obsahem druhu práce „učitel“ nebo „vychovatel“, jak ji definuje nařízení vlády. </w:t>
      </w:r>
    </w:p>
    <w:p w:rsidR="00064474" w:rsidRPr="00134891" w:rsidRDefault="00064474" w:rsidP="00064474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 xml:space="preserve">Jedná se o činnost, která je nad rámec sjednaného druhu práce, proto je také s doučujícími uzavírána dohoda o pracích konaných mimo pracovní poměr, ve které je druh práce specifikován (DPP a DPČ). </w:t>
      </w:r>
    </w:p>
    <w:p w:rsidR="00064474" w:rsidRPr="00134891" w:rsidRDefault="00064474" w:rsidP="00064474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 xml:space="preserve">Jedná se sice o aktivitu obdobnou pedagogické intervenci, liší se však co do účelu a rozsahu – není vázána pouze na žáky se speciálními vzdělávacími potřebami a slouží primárně pro doplnění vzdělávacích ztrát způsobených přerušením prezenční výuky. </w:t>
      </w:r>
    </w:p>
    <w:p w:rsidR="00064474" w:rsidRPr="00134891" w:rsidRDefault="00064474" w:rsidP="00064474">
      <w:pPr>
        <w:pStyle w:val="Odstavecseseznamem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64474" w:rsidRPr="00134891" w:rsidRDefault="00064474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34891">
        <w:rPr>
          <w:rFonts w:eastAsiaTheme="minorHAnsi"/>
          <w:color w:val="000000"/>
          <w:lang w:eastAsia="en-US"/>
        </w:rPr>
        <w:t>Doučování budou zajišťovat pedagogičtí pracovníci školy – učitelé a asistenti pedagoga.</w:t>
      </w:r>
    </w:p>
    <w:p w:rsidR="00064474" w:rsidRPr="00134891" w:rsidRDefault="00064474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64474" w:rsidRPr="00134891" w:rsidRDefault="00064474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4891">
        <w:t>Doučování bude probíhat mimo vyučování.</w:t>
      </w:r>
      <w:r w:rsidR="003D771C" w:rsidRPr="00134891">
        <w:t xml:space="preserve"> Pedagog </w:t>
      </w:r>
      <w:r w:rsidR="00BE5DEF" w:rsidRPr="00134891">
        <w:t xml:space="preserve">informuje zákonného zástupce o možnosti zařazení žáka do programu doučování. </w:t>
      </w:r>
      <w:r w:rsidR="003D771C" w:rsidRPr="00134891">
        <w:t xml:space="preserve">S doučováním musí souhlasit žák i zákonný zástupce žáka. </w:t>
      </w:r>
    </w:p>
    <w:p w:rsidR="00064474" w:rsidRPr="00134891" w:rsidRDefault="00064474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D771C" w:rsidRPr="00134891" w:rsidRDefault="003D771C" w:rsidP="003D771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134891">
        <w:rPr>
          <w:rFonts w:eastAsiaTheme="minorHAnsi"/>
          <w:b/>
          <w:color w:val="000000"/>
          <w:lang w:eastAsia="en-US"/>
        </w:rPr>
        <w:t>Odměna za doučování</w:t>
      </w:r>
    </w:p>
    <w:p w:rsidR="003D771C" w:rsidRPr="00134891" w:rsidRDefault="003D771C" w:rsidP="003D771C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50"/>
        <w:jc w:val="both"/>
        <w:rPr>
          <w:color w:val="4A4A4A"/>
          <w:lang w:eastAsia="cs-CZ"/>
        </w:rPr>
      </w:pPr>
      <w:r w:rsidRPr="00134891">
        <w:rPr>
          <w:color w:val="4A4A4A"/>
          <w:lang w:eastAsia="cs-CZ"/>
        </w:rPr>
        <w:t>Pro poskytování doučování je podmínkou uzavření dohody o pracích konaných mimo pracovní poměr s doučujícím (DPP).</w:t>
      </w:r>
    </w:p>
    <w:p w:rsidR="003D771C" w:rsidRPr="00134891" w:rsidRDefault="003D771C" w:rsidP="003D771C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50"/>
        <w:jc w:val="both"/>
        <w:rPr>
          <w:color w:val="4A4A4A"/>
          <w:lang w:eastAsia="cs-CZ"/>
        </w:rPr>
      </w:pPr>
      <w:r w:rsidRPr="00134891">
        <w:rPr>
          <w:color w:val="4A4A4A"/>
          <w:lang w:eastAsia="cs-CZ"/>
        </w:rPr>
        <w:t>Ten se stane pedagogickým pracovníkem školy, a pracovní doba se mu tak člení na dobu výkonu přímé pedagogické činnosti a na dobu s ní související (například příprava, hodnocení).</w:t>
      </w:r>
    </w:p>
    <w:p w:rsidR="003D771C" w:rsidRPr="00134891" w:rsidRDefault="003D771C" w:rsidP="003D771C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50"/>
        <w:jc w:val="both"/>
        <w:rPr>
          <w:color w:val="4A4A4A"/>
          <w:lang w:eastAsia="cs-CZ"/>
        </w:rPr>
      </w:pPr>
      <w:r w:rsidRPr="00134891">
        <w:rPr>
          <w:color w:val="4A4A4A"/>
          <w:lang w:eastAsia="cs-CZ"/>
        </w:rPr>
        <w:t xml:space="preserve">Poměr přímé pedagogické činnosti a přípravy je v tomto programu určen poměrem 45 minut přímé činnosti na 15 minut přípravy, tedy </w:t>
      </w:r>
      <w:proofErr w:type="gramStart"/>
      <w:r w:rsidRPr="00134891">
        <w:rPr>
          <w:color w:val="4A4A4A"/>
          <w:lang w:eastAsia="cs-CZ"/>
        </w:rPr>
        <w:t>3 :</w:t>
      </w:r>
      <w:proofErr w:type="gramEnd"/>
      <w:r w:rsidRPr="00134891">
        <w:rPr>
          <w:color w:val="4A4A4A"/>
          <w:lang w:eastAsia="cs-CZ"/>
        </w:rPr>
        <w:t> 1 ve prospěch přímého doučování žáka. Maximální částka je 250 Kč za hodinu.</w:t>
      </w:r>
    </w:p>
    <w:p w:rsidR="003D771C" w:rsidRPr="00134891" w:rsidRDefault="003D771C" w:rsidP="003D771C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50"/>
        <w:jc w:val="both"/>
        <w:rPr>
          <w:color w:val="4A4A4A"/>
          <w:lang w:eastAsia="cs-CZ"/>
        </w:rPr>
      </w:pPr>
      <w:r w:rsidRPr="00134891">
        <w:rPr>
          <w:color w:val="4A4A4A"/>
          <w:lang w:eastAsia="cs-CZ"/>
        </w:rPr>
        <w:t>Učitel musí plnit rozsah přímé pedagogické činnosti v týdenním režimu.</w:t>
      </w:r>
    </w:p>
    <w:p w:rsidR="003D771C" w:rsidRPr="00134891" w:rsidRDefault="003D771C" w:rsidP="003D771C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50"/>
        <w:jc w:val="both"/>
        <w:rPr>
          <w:color w:val="4A4A4A"/>
          <w:lang w:eastAsia="cs-CZ"/>
        </w:rPr>
      </w:pPr>
      <w:r w:rsidRPr="00134891">
        <w:rPr>
          <w:color w:val="4A4A4A"/>
          <w:lang w:eastAsia="cs-CZ"/>
        </w:rPr>
        <w:t>Bude-li zároveň zajišťovat doučování žáků, musí doučování v tomto programu vykázat zvlášť. Takto odděleně musí být doučování sledováno i v účetnictví školy.</w:t>
      </w:r>
    </w:p>
    <w:p w:rsidR="00D157D8" w:rsidRPr="00134891" w:rsidRDefault="00D157D8" w:rsidP="00CD5032">
      <w:pPr>
        <w:shd w:val="clear" w:color="auto" w:fill="FFFFFF"/>
        <w:suppressAutoHyphens w:val="0"/>
        <w:spacing w:before="100" w:beforeAutospacing="1" w:after="150"/>
        <w:jc w:val="both"/>
        <w:rPr>
          <w:b/>
          <w:color w:val="4A4A4A"/>
          <w:lang w:eastAsia="cs-CZ"/>
        </w:rPr>
      </w:pPr>
    </w:p>
    <w:p w:rsidR="00D157D8" w:rsidRPr="00134891" w:rsidRDefault="00D157D8" w:rsidP="00CD5032">
      <w:pPr>
        <w:shd w:val="clear" w:color="auto" w:fill="FFFFFF"/>
        <w:suppressAutoHyphens w:val="0"/>
        <w:spacing w:before="100" w:beforeAutospacing="1" w:after="150"/>
        <w:jc w:val="both"/>
        <w:rPr>
          <w:b/>
          <w:color w:val="4A4A4A"/>
          <w:lang w:eastAsia="cs-CZ"/>
        </w:rPr>
      </w:pPr>
    </w:p>
    <w:p w:rsidR="00D157D8" w:rsidRPr="00134891" w:rsidRDefault="00D157D8" w:rsidP="00CD5032">
      <w:pPr>
        <w:shd w:val="clear" w:color="auto" w:fill="FFFFFF"/>
        <w:suppressAutoHyphens w:val="0"/>
        <w:spacing w:before="100" w:beforeAutospacing="1" w:after="150"/>
        <w:jc w:val="both"/>
        <w:rPr>
          <w:b/>
          <w:color w:val="4A4A4A"/>
          <w:lang w:eastAsia="cs-CZ"/>
        </w:rPr>
      </w:pPr>
    </w:p>
    <w:p w:rsidR="00D157D8" w:rsidRDefault="00D157D8" w:rsidP="00CD5032">
      <w:pPr>
        <w:shd w:val="clear" w:color="auto" w:fill="FFFFFF"/>
        <w:suppressAutoHyphens w:val="0"/>
        <w:spacing w:before="100" w:beforeAutospacing="1" w:after="150"/>
        <w:jc w:val="both"/>
        <w:rPr>
          <w:b/>
          <w:color w:val="4A4A4A"/>
          <w:lang w:eastAsia="cs-CZ"/>
        </w:rPr>
      </w:pPr>
    </w:p>
    <w:p w:rsidR="00CD5032" w:rsidRDefault="00CD5032" w:rsidP="00CD5032">
      <w:pPr>
        <w:shd w:val="clear" w:color="auto" w:fill="FFFFFF"/>
        <w:suppressAutoHyphens w:val="0"/>
        <w:spacing w:before="100" w:beforeAutospacing="1" w:after="150"/>
        <w:jc w:val="both"/>
        <w:rPr>
          <w:b/>
          <w:color w:val="4A4A4A"/>
          <w:lang w:eastAsia="cs-CZ"/>
        </w:rPr>
      </w:pPr>
      <w:r w:rsidRPr="00CD5032">
        <w:rPr>
          <w:b/>
          <w:color w:val="4A4A4A"/>
          <w:lang w:eastAsia="cs-CZ"/>
        </w:rPr>
        <w:t>Přehled – doučování – září-prosinec 2021</w:t>
      </w:r>
      <w:r w:rsidR="00D157D8">
        <w:rPr>
          <w:b/>
          <w:color w:val="4A4A4A"/>
          <w:lang w:eastAsia="cs-CZ"/>
        </w:rPr>
        <w:t xml:space="preserve"> – </w:t>
      </w:r>
      <w:r w:rsidR="00D157D8" w:rsidRPr="00D157D8">
        <w:rPr>
          <w:color w:val="4A4A4A"/>
          <w:lang w:eastAsia="cs-CZ"/>
        </w:rPr>
        <w:t>2x v týdnu/1 hod (PPČ- 45 min</w:t>
      </w:r>
      <w:r w:rsidR="00D157D8">
        <w:rPr>
          <w:color w:val="4A4A4A"/>
          <w:lang w:eastAsia="cs-CZ"/>
        </w:rPr>
        <w:t>+ 15 min příprava</w:t>
      </w:r>
      <w:r w:rsidR="00D157D8" w:rsidRPr="00D157D8">
        <w:rPr>
          <w:color w:val="4A4A4A"/>
          <w:lang w:eastAsia="cs-CZ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5032" w:rsidTr="00CD5032">
        <w:tc>
          <w:tcPr>
            <w:tcW w:w="3020" w:type="dxa"/>
          </w:tcPr>
          <w:p w:rsid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b/>
                <w:color w:val="4A4A4A"/>
                <w:lang w:eastAsia="cs-CZ"/>
              </w:rPr>
            </w:pPr>
            <w:r>
              <w:rPr>
                <w:b/>
                <w:color w:val="4A4A4A"/>
                <w:lang w:eastAsia="cs-CZ"/>
              </w:rPr>
              <w:t>Pedagogický pracovník</w:t>
            </w:r>
          </w:p>
        </w:tc>
        <w:tc>
          <w:tcPr>
            <w:tcW w:w="3021" w:type="dxa"/>
          </w:tcPr>
          <w:p w:rsid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b/>
                <w:color w:val="4A4A4A"/>
                <w:lang w:eastAsia="cs-CZ"/>
              </w:rPr>
            </w:pPr>
            <w:r>
              <w:rPr>
                <w:b/>
                <w:color w:val="4A4A4A"/>
                <w:lang w:eastAsia="cs-CZ"/>
              </w:rPr>
              <w:t xml:space="preserve">Předmět </w:t>
            </w:r>
          </w:p>
        </w:tc>
        <w:tc>
          <w:tcPr>
            <w:tcW w:w="3021" w:type="dxa"/>
          </w:tcPr>
          <w:p w:rsid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b/>
                <w:color w:val="4A4A4A"/>
                <w:lang w:eastAsia="cs-CZ"/>
              </w:rPr>
            </w:pPr>
            <w:r>
              <w:rPr>
                <w:b/>
                <w:color w:val="4A4A4A"/>
                <w:lang w:eastAsia="cs-CZ"/>
              </w:rPr>
              <w:t xml:space="preserve">Třída 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 w:rsidRPr="00CD5032">
              <w:rPr>
                <w:color w:val="4A4A4A"/>
                <w:lang w:eastAsia="cs-CZ"/>
              </w:rPr>
              <w:t>Kapounová Eva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MAT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7.A, 7.B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Withelmová Andrea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8.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Vňuk Pavel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ANJ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8.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Kolínová Ivana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MAT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8., 9.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Nováková Jitka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ANJ</w:t>
            </w:r>
            <w:r w:rsidR="003A45DC">
              <w:rPr>
                <w:color w:val="4A4A4A"/>
                <w:lang w:eastAsia="cs-CZ"/>
              </w:rPr>
              <w:t>, ČEJ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6.A, 3., 5.B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 w:rsidRPr="00CD5032">
              <w:rPr>
                <w:color w:val="4A4A4A"/>
                <w:lang w:eastAsia="cs-CZ"/>
              </w:rPr>
              <w:t>Křováčková Ivana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RUJ, ČEJ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9.B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Beránková Svatava</w:t>
            </w:r>
          </w:p>
        </w:tc>
        <w:tc>
          <w:tcPr>
            <w:tcW w:w="3021" w:type="dxa"/>
          </w:tcPr>
          <w:p w:rsidR="00CD5032" w:rsidRPr="00CD5032" w:rsidRDefault="00CD5032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ANJ</w:t>
            </w:r>
          </w:p>
        </w:tc>
        <w:tc>
          <w:tcPr>
            <w:tcW w:w="3021" w:type="dxa"/>
          </w:tcPr>
          <w:p w:rsidR="00CD5032" w:rsidRPr="00CD5032" w:rsidRDefault="003A45DC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6., 7., 8., 9.</w:t>
            </w:r>
          </w:p>
        </w:tc>
      </w:tr>
      <w:tr w:rsidR="00CD5032" w:rsidTr="00CD5032">
        <w:tc>
          <w:tcPr>
            <w:tcW w:w="3020" w:type="dxa"/>
          </w:tcPr>
          <w:p w:rsid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Volfová Martina</w:t>
            </w:r>
          </w:p>
          <w:p w:rsidR="009E2B4A" w:rsidRPr="00CD5032" w:rsidRDefault="00615C03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Houdková Dana</w:t>
            </w:r>
          </w:p>
        </w:tc>
        <w:tc>
          <w:tcPr>
            <w:tcW w:w="3021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615C03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6.A, 6.B</w:t>
            </w:r>
            <w:r w:rsidR="003A45DC">
              <w:rPr>
                <w:color w:val="4A4A4A"/>
                <w:lang w:eastAsia="cs-CZ"/>
              </w:rPr>
              <w:t xml:space="preserve"> (pouze do 12. 10. 2021)</w:t>
            </w:r>
          </w:p>
          <w:p w:rsidR="00CD5032" w:rsidRPr="00615C03" w:rsidRDefault="00615C03" w:rsidP="00615C03">
            <w:pPr>
              <w:rPr>
                <w:lang w:eastAsia="cs-CZ"/>
              </w:rPr>
            </w:pPr>
            <w:r>
              <w:rPr>
                <w:lang w:eastAsia="cs-CZ"/>
              </w:rPr>
              <w:t>6.A, 6.B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Nováková Marie</w:t>
            </w:r>
          </w:p>
        </w:tc>
        <w:tc>
          <w:tcPr>
            <w:tcW w:w="3021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CD5032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1.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lastRenderedPageBreak/>
              <w:t>Pelcová Jaroslava</w:t>
            </w:r>
          </w:p>
        </w:tc>
        <w:tc>
          <w:tcPr>
            <w:tcW w:w="3021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CD5032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2.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Juhaňáková Věra</w:t>
            </w:r>
          </w:p>
        </w:tc>
        <w:tc>
          <w:tcPr>
            <w:tcW w:w="3021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CD5032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3.A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Houdková Dana</w:t>
            </w:r>
          </w:p>
        </w:tc>
        <w:tc>
          <w:tcPr>
            <w:tcW w:w="3021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CD5032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3.B</w:t>
            </w:r>
            <w:r w:rsidR="003A45DC">
              <w:rPr>
                <w:color w:val="4A4A4A"/>
                <w:lang w:eastAsia="cs-CZ"/>
              </w:rPr>
              <w:t>, 6.B</w:t>
            </w:r>
          </w:p>
        </w:tc>
      </w:tr>
      <w:tr w:rsidR="00CD5032" w:rsidTr="00CD5032">
        <w:tc>
          <w:tcPr>
            <w:tcW w:w="3020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Veselá Ivana</w:t>
            </w:r>
          </w:p>
        </w:tc>
        <w:tc>
          <w:tcPr>
            <w:tcW w:w="3021" w:type="dxa"/>
          </w:tcPr>
          <w:p w:rsidR="00CD5032" w:rsidRPr="00CD5032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CD5032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4.</w:t>
            </w:r>
          </w:p>
        </w:tc>
      </w:tr>
      <w:tr w:rsidR="00CD5032" w:rsidTr="00CD5032">
        <w:tc>
          <w:tcPr>
            <w:tcW w:w="3020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 w:rsidRPr="005446D9">
              <w:rPr>
                <w:color w:val="4A4A4A"/>
                <w:lang w:eastAsia="cs-CZ"/>
              </w:rPr>
              <w:t>Novotná Jana</w:t>
            </w:r>
          </w:p>
        </w:tc>
        <w:tc>
          <w:tcPr>
            <w:tcW w:w="3021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 w:rsidRPr="005446D9"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5.A</w:t>
            </w:r>
          </w:p>
        </w:tc>
      </w:tr>
      <w:tr w:rsidR="00CD5032" w:rsidTr="00CD5032">
        <w:tc>
          <w:tcPr>
            <w:tcW w:w="3020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Němečková Markéta</w:t>
            </w:r>
          </w:p>
        </w:tc>
        <w:tc>
          <w:tcPr>
            <w:tcW w:w="3021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5.B</w:t>
            </w:r>
          </w:p>
        </w:tc>
      </w:tr>
      <w:tr w:rsidR="00CD5032" w:rsidTr="00CD5032">
        <w:tc>
          <w:tcPr>
            <w:tcW w:w="3020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Kafková Naděžda</w:t>
            </w:r>
          </w:p>
        </w:tc>
        <w:tc>
          <w:tcPr>
            <w:tcW w:w="3021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P2</w:t>
            </w:r>
          </w:p>
        </w:tc>
      </w:tr>
      <w:tr w:rsidR="00CD5032" w:rsidTr="00CD5032">
        <w:tc>
          <w:tcPr>
            <w:tcW w:w="3020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Slivková Marie</w:t>
            </w:r>
          </w:p>
        </w:tc>
        <w:tc>
          <w:tcPr>
            <w:tcW w:w="3021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P1</w:t>
            </w:r>
          </w:p>
        </w:tc>
      </w:tr>
      <w:tr w:rsidR="00CD5032" w:rsidTr="00CD5032">
        <w:tc>
          <w:tcPr>
            <w:tcW w:w="3020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Kopecká Lucie</w:t>
            </w:r>
            <w:r w:rsidR="00D157D8">
              <w:rPr>
                <w:color w:val="4A4A4A"/>
                <w:lang w:eastAsia="cs-CZ"/>
              </w:rPr>
              <w:t xml:space="preserve"> </w:t>
            </w:r>
          </w:p>
        </w:tc>
        <w:tc>
          <w:tcPr>
            <w:tcW w:w="3021" w:type="dxa"/>
          </w:tcPr>
          <w:p w:rsidR="00CD5032" w:rsidRPr="005446D9" w:rsidRDefault="005446D9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P1</w:t>
            </w:r>
          </w:p>
        </w:tc>
      </w:tr>
      <w:tr w:rsidR="00CD5032" w:rsidTr="00CD5032">
        <w:tc>
          <w:tcPr>
            <w:tcW w:w="3020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Boučková Eva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ČEJ, MAT</w:t>
            </w:r>
          </w:p>
        </w:tc>
        <w:tc>
          <w:tcPr>
            <w:tcW w:w="3021" w:type="dxa"/>
          </w:tcPr>
          <w:p w:rsidR="00CD5032" w:rsidRPr="005446D9" w:rsidRDefault="00D157D8" w:rsidP="00CD5032">
            <w:pPr>
              <w:suppressAutoHyphens w:val="0"/>
              <w:spacing w:before="100" w:beforeAutospacing="1" w:after="150"/>
              <w:jc w:val="both"/>
              <w:rPr>
                <w:color w:val="4A4A4A"/>
                <w:lang w:eastAsia="cs-CZ"/>
              </w:rPr>
            </w:pPr>
            <w:r>
              <w:rPr>
                <w:color w:val="4A4A4A"/>
                <w:lang w:eastAsia="cs-CZ"/>
              </w:rPr>
              <w:t>P2</w:t>
            </w:r>
            <w:r w:rsidR="00615C03">
              <w:rPr>
                <w:color w:val="4A4A4A"/>
                <w:lang w:eastAsia="cs-CZ"/>
              </w:rPr>
              <w:t xml:space="preserve"> (do 31. 12. 2021)</w:t>
            </w:r>
          </w:p>
        </w:tc>
      </w:tr>
    </w:tbl>
    <w:p w:rsidR="00CD5032" w:rsidRPr="00CD5032" w:rsidRDefault="00CD5032" w:rsidP="00CD5032">
      <w:pPr>
        <w:shd w:val="clear" w:color="auto" w:fill="FFFFFF"/>
        <w:suppressAutoHyphens w:val="0"/>
        <w:spacing w:before="100" w:beforeAutospacing="1" w:after="150"/>
        <w:jc w:val="both"/>
        <w:rPr>
          <w:b/>
          <w:color w:val="4A4A4A"/>
          <w:lang w:eastAsia="cs-CZ"/>
        </w:rPr>
      </w:pPr>
    </w:p>
    <w:p w:rsidR="003D771C" w:rsidRDefault="003D771C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A45DC" w:rsidRDefault="003A45DC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A45DC" w:rsidRDefault="003A45DC" w:rsidP="00064474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13A10" w:rsidRPr="000F00B0" w:rsidRDefault="00A13A10" w:rsidP="00A13A1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C37E6" w:rsidRDefault="003A45DC">
      <w:r>
        <w:t>V Bezně 7. 9. 2021                                                      Mgr. Eva Kapounová</w:t>
      </w:r>
    </w:p>
    <w:p w:rsidR="003A45DC" w:rsidRPr="0000411B" w:rsidRDefault="003A45DC">
      <w:r>
        <w:t xml:space="preserve">                                                                                       ředitelka školy</w:t>
      </w:r>
    </w:p>
    <w:sectPr w:rsidR="003A45DC" w:rsidRPr="0000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DA36F"/>
    <w:multiLevelType w:val="hybridMultilevel"/>
    <w:tmpl w:val="76B06B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EE9B45"/>
    <w:multiLevelType w:val="hybridMultilevel"/>
    <w:tmpl w:val="165B3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ED1664"/>
    <w:multiLevelType w:val="hybridMultilevel"/>
    <w:tmpl w:val="FDB83562"/>
    <w:lvl w:ilvl="0" w:tplc="67CC7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83282"/>
    <w:multiLevelType w:val="hybridMultilevel"/>
    <w:tmpl w:val="A15606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AA66C0"/>
    <w:multiLevelType w:val="hybridMultilevel"/>
    <w:tmpl w:val="AC688F26"/>
    <w:lvl w:ilvl="0" w:tplc="67CC7A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493D"/>
    <w:multiLevelType w:val="hybridMultilevel"/>
    <w:tmpl w:val="EF9CF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E53C"/>
    <w:multiLevelType w:val="hybridMultilevel"/>
    <w:tmpl w:val="B02D30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AE380B"/>
    <w:multiLevelType w:val="hybridMultilevel"/>
    <w:tmpl w:val="0D6C357C"/>
    <w:lvl w:ilvl="0" w:tplc="661A8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5003"/>
    <w:multiLevelType w:val="multilevel"/>
    <w:tmpl w:val="A562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F3"/>
    <w:rsid w:val="0000411B"/>
    <w:rsid w:val="00053D9A"/>
    <w:rsid w:val="00064474"/>
    <w:rsid w:val="000F00B0"/>
    <w:rsid w:val="00134891"/>
    <w:rsid w:val="001C6CAC"/>
    <w:rsid w:val="00202C78"/>
    <w:rsid w:val="002C2FA2"/>
    <w:rsid w:val="003A45DC"/>
    <w:rsid w:val="003D771C"/>
    <w:rsid w:val="005171EA"/>
    <w:rsid w:val="005446D9"/>
    <w:rsid w:val="00615C03"/>
    <w:rsid w:val="00644488"/>
    <w:rsid w:val="00713FD6"/>
    <w:rsid w:val="008C37E6"/>
    <w:rsid w:val="00996CB6"/>
    <w:rsid w:val="009E2B4A"/>
    <w:rsid w:val="00A13A10"/>
    <w:rsid w:val="00A5533D"/>
    <w:rsid w:val="00A92EC6"/>
    <w:rsid w:val="00AD2FB3"/>
    <w:rsid w:val="00BB45EF"/>
    <w:rsid w:val="00BE5DEF"/>
    <w:rsid w:val="00C22783"/>
    <w:rsid w:val="00CC4F29"/>
    <w:rsid w:val="00CD5032"/>
    <w:rsid w:val="00CD6DF3"/>
    <w:rsid w:val="00D00818"/>
    <w:rsid w:val="00D157D8"/>
    <w:rsid w:val="00F04F23"/>
    <w:rsid w:val="00F2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A202"/>
  <w15:chartTrackingRefBased/>
  <w15:docId w15:val="{73E7D05A-07FC-4C7E-9464-CA0785FC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2">
    <w:name w:val="WW-Základní text 2"/>
    <w:basedOn w:val="Normln"/>
    <w:rsid w:val="002C2FA2"/>
    <w:rPr>
      <w:szCs w:val="20"/>
    </w:rPr>
  </w:style>
  <w:style w:type="character" w:styleId="Hypertextovodkaz">
    <w:name w:val="Hyperlink"/>
    <w:rsid w:val="002C2F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4488"/>
    <w:pPr>
      <w:ind w:left="720"/>
      <w:contextualSpacing/>
    </w:pPr>
  </w:style>
  <w:style w:type="paragraph" w:customStyle="1" w:styleId="Default">
    <w:name w:val="Default"/>
    <w:rsid w:val="00CC4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D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ezno@voln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Kapounová</dc:creator>
  <cp:keywords/>
  <dc:description/>
  <cp:lastModifiedBy>Eva Kapounová</cp:lastModifiedBy>
  <cp:revision>11</cp:revision>
  <cp:lastPrinted>2021-10-19T09:58:00Z</cp:lastPrinted>
  <dcterms:created xsi:type="dcterms:W3CDTF">2021-10-11T11:33:00Z</dcterms:created>
  <dcterms:modified xsi:type="dcterms:W3CDTF">2022-02-07T10:18:00Z</dcterms:modified>
</cp:coreProperties>
</file>